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B5DC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上海水星家用纺织品股份有限公司</w:t>
      </w:r>
    </w:p>
    <w:p w14:paraId="70A6F3B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投资者关系活动记录表(</w:t>
      </w:r>
      <w:r>
        <w:rPr>
          <w:rFonts w:ascii="宋体" w:hAnsi="宋体"/>
          <w:b/>
          <w:sz w:val="30"/>
          <w:szCs w:val="30"/>
        </w:rPr>
        <w:t>2025.04.29)</w:t>
      </w:r>
    </w:p>
    <w:p w14:paraId="424F423C">
      <w:pPr>
        <w:spacing w:before="156" w:beforeLines="50" w:line="400" w:lineRule="atLeast"/>
        <w:ind w:firstLine="600" w:firstLineChars="2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证券简称：水星家纺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            证券代码：603365   </w:t>
      </w:r>
      <w:r>
        <w:rPr>
          <w:rFonts w:ascii="宋体" w:hAnsi="宋体"/>
          <w:sz w:val="24"/>
          <w:szCs w:val="24"/>
        </w:rPr>
        <w:t xml:space="preserve"> </w:t>
      </w:r>
    </w:p>
    <w:tbl>
      <w:tblPr>
        <w:tblStyle w:val="5"/>
        <w:tblW w:w="9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7390"/>
      </w:tblGrid>
      <w:tr w14:paraId="5D29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08E0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投资者关系活动类别</w:t>
            </w:r>
          </w:p>
        </w:tc>
        <w:tc>
          <w:tcPr>
            <w:tcW w:w="7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051DD">
            <w:pPr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□特定对象调研   □分析师会议    □媒体采访</w:t>
            </w:r>
          </w:p>
          <w:p w14:paraId="52695F83">
            <w:pPr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□业绩说明会     □新闻发布会    □路演活动</w:t>
            </w:r>
          </w:p>
          <w:p w14:paraId="3B0AF211">
            <w:pPr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□现场参观       ■其他（电话会议）</w:t>
            </w:r>
          </w:p>
        </w:tc>
      </w:tr>
      <w:tr w14:paraId="73A22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DB7CD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参与单位名称及人员姓名</w:t>
            </w:r>
          </w:p>
        </w:tc>
        <w:tc>
          <w:tcPr>
            <w:tcW w:w="7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603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0"/>
              <w:gridCol w:w="1660"/>
              <w:gridCol w:w="1520"/>
              <w:gridCol w:w="1000"/>
            </w:tblGrid>
            <w:tr w14:paraId="710463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6A9DF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彬元资产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429B8D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周振兴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3CBE3E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泉汐资产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045AED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吴越</w:t>
                  </w:r>
                </w:p>
              </w:tc>
            </w:tr>
            <w:tr w14:paraId="09E866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20F245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东方财富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3744A4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韩欣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ED6673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山西证券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85B096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王冯</w:t>
                  </w:r>
                </w:p>
              </w:tc>
            </w:tr>
            <w:tr w14:paraId="5C0B03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0D5072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东方红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B0E9BA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唐亮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F926E4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山西证券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740DDB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孙萌</w:t>
                  </w:r>
                </w:p>
              </w:tc>
            </w:tr>
            <w:tr w14:paraId="10489A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8EEBA7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东吴证券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1F3061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赵艺原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4B6BA4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申万宏源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53EDA7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求佳峰</w:t>
                  </w:r>
                </w:p>
              </w:tc>
            </w:tr>
            <w:tr w14:paraId="423D6D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A0B858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东吴证券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1A0C12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汤军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EA1DDD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申万宏源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EB36F6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王立平</w:t>
                  </w:r>
                </w:p>
              </w:tc>
            </w:tr>
            <w:tr w14:paraId="01E36D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C437F7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东证融汇资管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779563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鞠然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3760BA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太平洋证券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6F8BD6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郭彬</w:t>
                  </w:r>
                </w:p>
              </w:tc>
            </w:tr>
            <w:tr w14:paraId="7CE7F0B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2C52AA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光大证券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59C3A9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朱洁宇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9E6CB2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禧弘基金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28BBBF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谢宁宁</w:t>
                  </w:r>
                </w:p>
              </w:tc>
            </w:tr>
            <w:tr w14:paraId="09CBAA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8CAA77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广发证券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29E4CB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糜韩杰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4394C8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兴业基金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85E92B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蒋丽丝</w:t>
                  </w:r>
                </w:p>
              </w:tc>
            </w:tr>
            <w:tr w14:paraId="5871CA5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38FE6B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广发证券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10BA32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董建芳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355F89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兴业自营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1A1701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刘琪铭</w:t>
                  </w:r>
                </w:p>
              </w:tc>
            </w:tr>
            <w:tr w14:paraId="217868B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0034B7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国金证券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1602A8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杨雨钦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70013E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长江证券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9D5319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柯睿</w:t>
                  </w:r>
                </w:p>
              </w:tc>
            </w:tr>
            <w:tr w14:paraId="2E0FC4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147303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国盛证券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7C3943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杨莹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8CB6CC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长江证券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FBDEAE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雷玉</w:t>
                  </w:r>
                </w:p>
              </w:tc>
            </w:tr>
            <w:tr w14:paraId="055960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AC87BB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国泰海通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2A33D8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赵博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E3C181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招商纺服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906C20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王梓旭</w:t>
                  </w:r>
                </w:p>
              </w:tc>
            </w:tr>
            <w:tr w14:paraId="3F5942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091ECA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国泰海通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8AF07A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钟启辉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336238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浙商证券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FB47A1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邹国强</w:t>
                  </w:r>
                </w:p>
              </w:tc>
            </w:tr>
            <w:tr w14:paraId="727FCB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A5A354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国泰海通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F0F6F9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盛开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8B8098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浙商证券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85E893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詹陆雨</w:t>
                  </w:r>
                </w:p>
              </w:tc>
            </w:tr>
            <w:tr w14:paraId="2880C6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F26981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华西证券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1EA9B9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王鹤锟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3E9A9D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中欧基金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7711DB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刘占洋</w:t>
                  </w:r>
                </w:p>
              </w:tc>
            </w:tr>
            <w:tr w14:paraId="7ADFDD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7C442A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开源证券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FCB239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张霜凝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C11AFD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中泰证券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3689BC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吴思涵</w:t>
                  </w:r>
                </w:p>
              </w:tc>
            </w:tr>
            <w:tr w14:paraId="71F06C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7033FF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领颐资产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18A3B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刘奥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23AAB1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中信期货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0E0726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魏巍</w:t>
                  </w:r>
                </w:p>
              </w:tc>
            </w:tr>
            <w:tr w14:paraId="26DCE9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24C0E2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宁远资本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BD0E60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张辛洋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419D43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CD98B3">
                  <w:pPr>
                    <w:widowControl/>
                    <w:jc w:val="left"/>
                    <w:rPr>
                      <w:rFonts w:ascii="Times New Roman" w:hAnsi="Times New Roman" w:eastAsia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B2903F8">
            <w:pPr>
              <w:spacing w:line="400" w:lineRule="atLeas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5B564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359E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7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DC5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2025年04月29日15:00-16:00</w:t>
            </w:r>
          </w:p>
        </w:tc>
      </w:tr>
      <w:tr w14:paraId="0C448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9A3CD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地点</w:t>
            </w:r>
          </w:p>
        </w:tc>
        <w:tc>
          <w:tcPr>
            <w:tcW w:w="7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44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上海市奉贤区沪杭公路1487号</w:t>
            </w:r>
          </w:p>
        </w:tc>
      </w:tr>
      <w:tr w14:paraId="3465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A44C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公司接待人员姓名</w:t>
            </w:r>
          </w:p>
        </w:tc>
        <w:tc>
          <w:tcPr>
            <w:tcW w:w="7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AB2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副总裁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李婕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财务总监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孙子刚、董事会秘书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田怡</w:t>
            </w:r>
          </w:p>
        </w:tc>
      </w:tr>
      <w:tr w14:paraId="5DA0B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513B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投资者关系活动主要内容介绍</w:t>
            </w:r>
          </w:p>
        </w:tc>
        <w:tc>
          <w:tcPr>
            <w:tcW w:w="7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2628D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Part1：公司介绍</w:t>
            </w:r>
          </w:p>
          <w:p w14:paraId="30DDD99B">
            <w:pPr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回顾2024年度，虽然一季度消费品行业市场供需关系有所改善，但仍面临着市场需求不均衡等风险，在国内消费结构调整深化的背景下，家纺行业的消费结构也逐渐变化。据国家统计局数据，社会消费品零售总额中服装、鞋帽、针纺织品类1—3月份同比增长2.5%；1-6月份同比增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1.3%；1-9月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同比增长</w:t>
            </w:r>
            <w:r>
              <w:rPr>
                <w:rFonts w:hint="eastAsia" w:asciiTheme="minorEastAsia" w:hAnsiTheme="minorEastAsia" w:cstheme="minorEastAsia"/>
                <w:sz w:val="24"/>
              </w:rPr>
              <w:t>已降至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0.2%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，增速较上年同期回落且逐步走低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1-12月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同比增长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回升至0.3%</w:t>
            </w:r>
            <w:r>
              <w:rPr>
                <w:rFonts w:hint="eastAsia" w:asciiTheme="minorEastAsia" w:hAnsiTheme="minorEastAsia" w:cstheme="minorEastAsia"/>
                <w:sz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公司2024年前三季度实现</w:t>
            </w:r>
            <w:r>
              <w:rPr>
                <w:rFonts w:hint="eastAsia" w:asciiTheme="minorEastAsia" w:hAnsiTheme="minorEastAsia" w:cstheme="minorEastAsia"/>
                <w:sz w:val="24"/>
              </w:rPr>
              <w:t>营业收入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26.83亿元，同比下降2.57%；归属于上市公司股东的净利润2.10亿元，同比下降16.80%，业绩承压明显。2024年四季度国家通过促进消费的相关政策对家纺行业进行补贴，多地将家纺产品列入补贴范围，有力地推动了家纺龙头品牌的消费增长。公司</w:t>
            </w:r>
            <w:r>
              <w:rPr>
                <w:rFonts w:hint="eastAsia" w:asciiTheme="minorEastAsia" w:hAnsiTheme="minorEastAsia" w:cstheme="minorEastAsia"/>
                <w:sz w:val="24"/>
              </w:rPr>
              <w:t>积极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调整运营策略，借助国家补贴的利好政策，</w:t>
            </w:r>
            <w:r>
              <w:rPr>
                <w:rFonts w:hint="eastAsia" w:asciiTheme="minorEastAsia" w:hAnsiTheme="minorEastAsia" w:cstheme="minorEastAsia"/>
                <w:sz w:val="24"/>
              </w:rPr>
              <w:t>四季度业绩有所回升。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2024年</w:t>
            </w:r>
            <w:r>
              <w:rPr>
                <w:rFonts w:hint="eastAsia" w:asciiTheme="minorEastAsia" w:hAnsiTheme="minorEastAsia" w:cstheme="minorEastAsia"/>
                <w:sz w:val="24"/>
              </w:rPr>
              <w:t>全年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公司实现营业收入41</w:t>
            </w:r>
            <w:r>
              <w:rPr>
                <w:rFonts w:hint="eastAsia" w:asciiTheme="minorEastAsia" w:hAnsiTheme="minorEastAsia" w:cs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93</w:t>
            </w:r>
            <w:r>
              <w:rPr>
                <w:rFonts w:hint="eastAsia" w:asciiTheme="minorEastAsia" w:hAnsiTheme="minorEastAsia" w:cstheme="minorEastAsia"/>
                <w:sz w:val="24"/>
              </w:rPr>
              <w:t>亿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元，较上年同期减少0.42%；归属于上市公司股东的净利润3</w:t>
            </w:r>
            <w:r>
              <w:rPr>
                <w:rFonts w:hint="eastAsia" w:asciiTheme="minorEastAsia" w:hAnsiTheme="minorEastAsia" w:cs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</w:rPr>
              <w:t>7亿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元，较上年同期减少3.28%</w:t>
            </w:r>
            <w:r>
              <w:rPr>
                <w:rFonts w:hint="eastAsia" w:asciiTheme="minorEastAsia" w:hAnsiTheme="minorEastAsia" w:cstheme="minorEastAsia"/>
                <w:sz w:val="24"/>
              </w:rPr>
              <w:t>。</w:t>
            </w:r>
          </w:p>
          <w:p w14:paraId="7B9BFDF8">
            <w:pPr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分渠道看，线下</w:t>
            </w:r>
            <w:r>
              <w:rPr>
                <w:rFonts w:hint="eastAsia" w:asciiTheme="minorEastAsia" w:hAnsiTheme="minorEastAsia" w:cstheme="minorEastAsia"/>
                <w:sz w:val="24"/>
              </w:rPr>
              <w:t>业务中，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经销渠道仍是主力渠道。公司与各大区域经销商保持长期良好的合作关系，共担商品库存与市场拓展风险，共同建立起稳健的营销网络。2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</w:rPr>
              <w:t>24年度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加盟渠道实现收入13.33亿元，同比增</w:t>
            </w:r>
            <w:r>
              <w:rPr>
                <w:rFonts w:hint="eastAsia" w:asciiTheme="minorEastAsia" w:hAnsiTheme="minorEastAsia" w:cstheme="minorEastAsia"/>
                <w:sz w:val="24"/>
              </w:rPr>
              <w:t>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1.46%。公司自营门店主要布局在一二线城市的核心商圈。报告期加强轻资产渠道布局，扩大优质网点经营面积，新增优质网点，优化绩差网点，费用得以有效控制。</w:t>
            </w:r>
          </w:p>
          <w:p w14:paraId="275A4207">
            <w:pPr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线上</w:t>
            </w:r>
            <w:r>
              <w:rPr>
                <w:rFonts w:hint="eastAsia" w:asciiTheme="minorEastAsia" w:hAnsiTheme="minorEastAsia" w:cstheme="minorEastAsia"/>
                <w:sz w:val="24"/>
              </w:rPr>
              <w:t>渠道方面，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公司在前三季度线上业务承压的情况下，</w:t>
            </w:r>
            <w:r>
              <w:rPr>
                <w:rFonts w:hint="eastAsia" w:asciiTheme="minorEastAsia" w:hAnsiTheme="minorEastAsia" w:cstheme="minorEastAsia"/>
                <w:sz w:val="24"/>
              </w:rPr>
              <w:t>第四季度持续发力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，双十一活动期间蚕丝被、羽绒被等冬季大单品</w:t>
            </w:r>
            <w:r>
              <w:rPr>
                <w:rFonts w:hint="eastAsia" w:asciiTheme="minorEastAsia" w:hAnsiTheme="minorEastAsia" w:cstheme="minorEastAsia"/>
                <w:sz w:val="24"/>
              </w:rPr>
              <w:t>成为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热卖产品，被芯销量名列前茅。另外床上用品国家补贴四季度上线，线上渠道因高覆盖率和平台补贴带动效果明显。</w:t>
            </w:r>
            <w:r>
              <w:rPr>
                <w:rFonts w:hint="eastAsia" w:asciiTheme="minorEastAsia" w:hAnsiTheme="minorEastAsia" w:cstheme="minorEastAsia"/>
                <w:sz w:val="24"/>
              </w:rPr>
              <w:t>2024年全年电商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渠道实现</w:t>
            </w:r>
            <w:r>
              <w:rPr>
                <w:rFonts w:hint="eastAsia" w:asciiTheme="minorEastAsia" w:hAnsiTheme="minorEastAsia" w:cstheme="minorEastAsia"/>
                <w:sz w:val="24"/>
              </w:rPr>
              <w:t>营业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收入22.99亿，虽</w:t>
            </w:r>
            <w:r>
              <w:rPr>
                <w:rFonts w:hint="eastAsia" w:asciiTheme="minorEastAsia" w:hAnsiTheme="minorEastAsia" w:cstheme="minorEastAsia"/>
                <w:sz w:val="24"/>
              </w:rPr>
              <w:t>同比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下滑3.75%，但毛利率提升</w:t>
            </w:r>
            <w:r>
              <w:rPr>
                <w:rFonts w:hint="eastAsia" w:asciiTheme="minorEastAsia" w:hAnsiTheme="minorEastAsia" w:cstheme="minorEastAsia"/>
                <w:sz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42.96%，产品盈利能力增强。</w:t>
            </w:r>
          </w:p>
          <w:p w14:paraId="75C2EA51">
            <w:pPr>
              <w:spacing w:line="360" w:lineRule="auto"/>
              <w:ind w:firstLine="480"/>
              <w:rPr>
                <w:rFonts w:ascii="Times New Roman" w:hAnsi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2025年一季度，公司在2024年同期高基数、高增长的背景下，实现营业收入9.26亿元，同比增长1.20%；归属于上市公司股东的净利润8</w:t>
            </w:r>
            <w:r>
              <w:rPr>
                <w:rFonts w:hint="eastAsia" w:asciiTheme="minorEastAsia" w:hAnsiTheme="minorEastAsia" w:cs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978.25万</w:t>
            </w: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，同比下降3.79%。但</w:t>
            </w:r>
            <w:r>
              <w:rPr>
                <w:rFonts w:hint="eastAsia" w:asciiTheme="minorEastAsia" w:hAnsiTheme="minorEastAsia" w:cstheme="minorEastAsia"/>
                <w:sz w:val="24"/>
              </w:rPr>
              <w:t>考虑到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公司2025年一季度股权激励股份支付费用</w:t>
            </w:r>
            <w:r>
              <w:rPr>
                <w:rFonts w:hint="eastAsia" w:asciiTheme="minorEastAsia" w:hAnsiTheme="minorEastAsia" w:cstheme="minorEastAsia"/>
                <w:sz w:val="24"/>
              </w:rPr>
              <w:t>同比增加的影响，剔除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该</w:t>
            </w:r>
            <w:r>
              <w:rPr>
                <w:rFonts w:hint="eastAsia" w:asciiTheme="minorEastAsia" w:hAnsiTheme="minorEastAsia" w:cstheme="minorEastAsia"/>
                <w:sz w:val="24"/>
              </w:rPr>
              <w:t>影响后的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净利润</w:t>
            </w:r>
            <w:r>
              <w:rPr>
                <w:rFonts w:hint="eastAsia" w:asciiTheme="minorEastAsia" w:hAnsiTheme="minorEastAsia" w:cstheme="minorEastAsia"/>
                <w:sz w:val="24"/>
              </w:rPr>
              <w:t>同比实现了正增长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25年</w:t>
            </w:r>
            <w:r>
              <w:rPr>
                <w:rFonts w:hint="eastAsia" w:asciiTheme="minorEastAsia" w:hAnsiTheme="minorEastAsia" w:cstheme="minorEastAsia"/>
                <w:sz w:val="24"/>
              </w:rPr>
              <w:t>一季度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虽然面临了复杂的市场环境和挑战，但是</w:t>
            </w:r>
            <w:r>
              <w:rPr>
                <w:rFonts w:hint="eastAsia" w:asciiTheme="minorEastAsia" w:hAnsiTheme="minorEastAsia" w:cstheme="minorEastAsia"/>
                <w:sz w:val="24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整体上保持了平稳的发展态势。部分中小品牌企业缺乏完善的生产研发及品控体系，同时重资源投入营销，加剧了市场竞争的复杂程度。但公司深耕产品，</w:t>
            </w:r>
            <w:r>
              <w:rPr>
                <w:rFonts w:hint="eastAsia" w:asciiTheme="minorEastAsia" w:hAnsiTheme="minorEastAsia" w:cs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25年主推全渠道大单品，例如公司自主研发的人体工学枕、雪糕被5.0</w:t>
            </w:r>
            <w:r>
              <w:rPr>
                <w:rFonts w:hint="eastAsia" w:asciiTheme="minorEastAsia" w:hAnsiTheme="minorEastAsia" w:cstheme="minorEastAsia"/>
                <w:sz w:val="24"/>
              </w:rPr>
              <w:t>等系列产品。未来公司将持续优化产品结构，完善研发体系和供应链体系的建设，为消费者提供令人放心的高品质家纺产品。</w:t>
            </w:r>
          </w:p>
          <w:p w14:paraId="077A3EA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Part2：互动环节</w:t>
            </w:r>
          </w:p>
          <w:p w14:paraId="6C20C09E">
            <w:pPr>
              <w:widowControl/>
              <w:adjustRightInd w:val="0"/>
              <w:snapToGrid w:val="0"/>
              <w:spacing w:line="360" w:lineRule="auto"/>
              <w:ind w:firstLine="482" w:firstLineChars="2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1、2</w:t>
            </w:r>
            <w:r>
              <w:rPr>
                <w:b/>
                <w:bCs/>
                <w:color w:val="FF0000"/>
                <w:sz w:val="24"/>
                <w:szCs w:val="24"/>
              </w:rPr>
              <w:t>024年在整体国内消费疲软的环境下，公司扣非净利润实现逆势增长，过去一年具体采取了哪些措施取得这样优异的成绩？</w:t>
            </w:r>
          </w:p>
          <w:p w14:paraId="07754BEA">
            <w:pPr>
              <w:pStyle w:val="10"/>
              <w:widowControl/>
              <w:adjustRightInd w:val="0"/>
              <w:snapToGrid w:val="0"/>
              <w:spacing w:line="360" w:lineRule="auto"/>
              <w:ind w:firstLine="480"/>
              <w:rPr>
                <w:rFonts w:cs="Times New Roman"/>
              </w:rPr>
            </w:pPr>
            <w:r>
              <w:rPr>
                <w:rFonts w:cs="Times New Roman"/>
              </w:rPr>
              <w:t>A1</w:t>
            </w:r>
            <w:r>
              <w:rPr>
                <w:rFonts w:hint="eastAsia" w:cs="Times New Roman"/>
              </w:rPr>
              <w:t>、</w:t>
            </w:r>
            <w:r>
              <w:rPr>
                <w:rFonts w:cs="Times New Roman"/>
              </w:rPr>
              <w:t>24年公司在</w:t>
            </w:r>
            <w:r>
              <w:rPr>
                <w:rFonts w:hint="eastAsia" w:cs="Times New Roman"/>
              </w:rPr>
              <w:t>多个</w:t>
            </w:r>
            <w:r>
              <w:rPr>
                <w:rFonts w:cs="Times New Roman"/>
              </w:rPr>
              <w:t>机场、高铁站进行了品牌广告的投放，研发投入</w:t>
            </w:r>
            <w:r>
              <w:rPr>
                <w:rFonts w:hint="eastAsia" w:cs="Times New Roman"/>
                <w:lang w:val="en-US" w:eastAsia="zh-CN"/>
              </w:rPr>
              <w:t>同比有所提升</w:t>
            </w:r>
            <w:r>
              <w:rPr>
                <w:rFonts w:cs="Times New Roman"/>
              </w:rPr>
              <w:t>，致力于对产品性能</w:t>
            </w:r>
            <w:r>
              <w:rPr>
                <w:rFonts w:hint="eastAsia" w:cs="Times New Roman"/>
                <w:lang w:val="en-US" w:eastAsia="zh-CN"/>
              </w:rPr>
              <w:t>差异化布局</w:t>
            </w:r>
            <w:r>
              <w:rPr>
                <w:rFonts w:cs="Times New Roman"/>
              </w:rPr>
              <w:t>。重点来看，</w:t>
            </w: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024年Q4业绩实现较好增长</w:t>
            </w:r>
            <w:r>
              <w:rPr>
                <w:rFonts w:hint="eastAsia" w:cs="Times New Roman"/>
              </w:rPr>
              <w:t>，</w:t>
            </w:r>
            <w:r>
              <w:rPr>
                <w:rFonts w:cs="Times New Roman"/>
              </w:rPr>
              <w:t>拉动了全年业绩，主要有两方面原因：一是在Q2业绩承压后，公司内部积极调整</w:t>
            </w:r>
            <w:r>
              <w:rPr>
                <w:rFonts w:hint="eastAsia" w:cs="Times New Roman"/>
                <w:lang w:val="en-US" w:eastAsia="zh-CN"/>
              </w:rPr>
              <w:t>策略</w:t>
            </w:r>
            <w:r>
              <w:rPr>
                <w:rFonts w:cs="Times New Roman"/>
              </w:rPr>
              <w:t>并在Q4显效，包括优化大单品战略、投放契合不同客群需求的产品、在控费基础上实现精准的费用投放等；二是</w:t>
            </w:r>
            <w:r>
              <w:rPr>
                <w:rFonts w:hint="eastAsia" w:cs="Times New Roman"/>
                <w:lang w:val="en-US" w:eastAsia="zh-CN"/>
              </w:rPr>
              <w:t>四季度</w:t>
            </w:r>
            <w:r>
              <w:rPr>
                <w:rFonts w:hint="eastAsia" w:cs="Times New Roman"/>
              </w:rPr>
              <w:t>国家</w:t>
            </w:r>
            <w:r>
              <w:rPr>
                <w:rFonts w:cs="Times New Roman"/>
              </w:rPr>
              <w:t>补贴</w:t>
            </w:r>
            <w:r>
              <w:rPr>
                <w:rFonts w:hint="eastAsia" w:cs="Times New Roman"/>
                <w:lang w:val="en-US" w:eastAsia="zh-CN"/>
              </w:rPr>
              <w:t>政策上线，</w:t>
            </w:r>
            <w:r>
              <w:rPr>
                <w:rFonts w:cs="Times New Roman"/>
              </w:rPr>
              <w:t>对销售起到了较好的拉动作用。</w:t>
            </w:r>
          </w:p>
          <w:p w14:paraId="7D34AEDC">
            <w:pPr>
              <w:widowControl/>
              <w:adjustRightInd w:val="0"/>
              <w:snapToGrid w:val="0"/>
              <w:spacing w:line="360" w:lineRule="auto"/>
              <w:ind w:firstLine="482" w:firstLineChars="2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Q</w:t>
            </w: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、2</w:t>
            </w:r>
            <w:r>
              <w:rPr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25年Q1营收在高基数下取得正增长，剔除股权激励支付后的净利实现增长，如何</w:t>
            </w:r>
            <w:r>
              <w:rPr>
                <w:b/>
                <w:bCs/>
                <w:color w:val="FF0000"/>
                <w:sz w:val="24"/>
                <w:szCs w:val="24"/>
              </w:rPr>
              <w:t>看待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全年</w:t>
            </w:r>
            <w:r>
              <w:rPr>
                <w:b/>
                <w:bCs/>
                <w:color w:val="FF0000"/>
                <w:sz w:val="24"/>
                <w:szCs w:val="24"/>
              </w:rPr>
              <w:t>整个家纺消费市场的变化趋势？</w:t>
            </w:r>
          </w:p>
          <w:p w14:paraId="33696F7D">
            <w:pPr>
              <w:pStyle w:val="10"/>
              <w:widowControl/>
              <w:adjustRightInd w:val="0"/>
              <w:snapToGrid w:val="0"/>
              <w:spacing w:line="360" w:lineRule="auto"/>
              <w:ind w:firstLine="480"/>
              <w:rPr>
                <w:rFonts w:cs="Times New Roman"/>
              </w:rPr>
            </w:pPr>
            <w:r>
              <w:rPr>
                <w:rFonts w:cs="Times New Roman"/>
              </w:rPr>
              <w:t>A2</w:t>
            </w:r>
            <w:r>
              <w:rPr>
                <w:rFonts w:hint="eastAsia" w:cs="Times New Roman"/>
              </w:rPr>
              <w:t>、</w:t>
            </w:r>
            <w:r>
              <w:rPr>
                <w:rFonts w:cs="Times New Roman"/>
              </w:rPr>
              <w:t>2025年的家纺市场机会和挑战并存。一方面，2025年补贴目前虽属区域性</w:t>
            </w:r>
            <w:r>
              <w:rPr>
                <w:rFonts w:hint="eastAsia" w:cs="Times New Roman"/>
              </w:rPr>
              <w:t>，但</w:t>
            </w:r>
            <w:r>
              <w:rPr>
                <w:rFonts w:cs="Times New Roman"/>
              </w:rPr>
              <w:t>执行时间长</w:t>
            </w:r>
            <w:r>
              <w:rPr>
                <w:rFonts w:hint="eastAsia" w:cs="Times New Roman"/>
              </w:rPr>
              <w:t>（全年）</w:t>
            </w:r>
            <w:r>
              <w:rPr>
                <w:rFonts w:cs="Times New Roman"/>
              </w:rPr>
              <w:t>，未来还有进阶可能，</w:t>
            </w:r>
            <w:r>
              <w:rPr>
                <w:rFonts w:hint="eastAsia" w:cs="Times New Roman"/>
                <w:lang w:val="en-US" w:eastAsia="zh-CN"/>
              </w:rPr>
              <w:t>预计</w:t>
            </w:r>
            <w:r>
              <w:rPr>
                <w:rFonts w:cs="Times New Roman"/>
              </w:rPr>
              <w:t>今年家纺市场环境好于去年。另一方面，近期外贸环境</w:t>
            </w:r>
            <w:r>
              <w:rPr>
                <w:rFonts w:hint="eastAsia" w:cs="Times New Roman"/>
              </w:rPr>
              <w:t>存在</w:t>
            </w:r>
            <w:r>
              <w:rPr>
                <w:rFonts w:cs="Times New Roman"/>
              </w:rPr>
              <w:t>较大不确定性，不排除未来出口产品转入内销市场，竞争会加剧。</w:t>
            </w:r>
          </w:p>
          <w:p w14:paraId="05D7BC6F">
            <w:pPr>
              <w:pStyle w:val="10"/>
              <w:widowControl/>
              <w:adjustRightInd w:val="0"/>
              <w:snapToGrid w:val="0"/>
              <w:spacing w:line="360" w:lineRule="auto"/>
              <w:ind w:firstLine="480"/>
              <w:rPr>
                <w:rFonts w:cs="Times New Roman"/>
              </w:rPr>
            </w:pPr>
            <w:r>
              <w:rPr>
                <w:rFonts w:cs="Times New Roman"/>
              </w:rPr>
              <w:t>从长周期看，在中国家纺市场</w:t>
            </w:r>
            <w:r>
              <w:rPr>
                <w:rFonts w:hint="eastAsia" w:cs="Times New Roman"/>
              </w:rPr>
              <w:t>，</w:t>
            </w:r>
            <w:r>
              <w:rPr>
                <w:rFonts w:cs="Times New Roman"/>
              </w:rPr>
              <w:t>龙头公司机会仍然很大，从近年枕芯的市场表现来看</w:t>
            </w:r>
            <w:r>
              <w:rPr>
                <w:rFonts w:hint="eastAsia" w:cs="Times New Roman"/>
              </w:rPr>
              <w:t>，家纺行业空间高于市场预测。</w:t>
            </w:r>
            <w:r>
              <w:rPr>
                <w:rFonts w:cs="Times New Roman"/>
              </w:rPr>
              <w:t>且家纺行业集中度目前较低，未来提升是大势所趋。</w:t>
            </w:r>
          </w:p>
          <w:p w14:paraId="2BEB6D30">
            <w:pPr>
              <w:widowControl/>
              <w:adjustRightInd w:val="0"/>
              <w:snapToGrid w:val="0"/>
              <w:spacing w:line="360" w:lineRule="auto"/>
              <w:ind w:firstLine="482" w:firstLineChars="2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Q3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、</w:t>
            </w:r>
            <w:r>
              <w:rPr>
                <w:b/>
                <w:bCs/>
                <w:color w:val="FF0000"/>
                <w:sz w:val="24"/>
                <w:szCs w:val="24"/>
              </w:rPr>
              <w:t>公司2024年门店数量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情况</w:t>
            </w:r>
            <w:r>
              <w:rPr>
                <w:b/>
                <w:bCs/>
                <w:color w:val="FF0000"/>
                <w:sz w:val="24"/>
                <w:szCs w:val="24"/>
              </w:rPr>
              <w:t>，2025年新开店计划如何？</w:t>
            </w:r>
          </w:p>
          <w:p w14:paraId="03EEFFB9">
            <w:pPr>
              <w:pStyle w:val="10"/>
              <w:widowControl/>
              <w:adjustRightInd w:val="0"/>
              <w:snapToGrid w:val="0"/>
              <w:spacing w:line="360" w:lineRule="auto"/>
              <w:ind w:firstLine="480"/>
              <w:rPr>
                <w:rFonts w:cs="Times New Roman"/>
              </w:rPr>
            </w:pPr>
            <w:r>
              <w:rPr>
                <w:rFonts w:cs="Times New Roman"/>
              </w:rPr>
              <w:t>A3</w:t>
            </w:r>
            <w:r>
              <w:rPr>
                <w:rFonts w:hint="eastAsia" w:cs="Times New Roman"/>
              </w:rPr>
              <w:t>、</w:t>
            </w:r>
            <w:r>
              <w:rPr>
                <w:rFonts w:cs="Times New Roman"/>
              </w:rPr>
              <w:t>2024年净开了100多家</w:t>
            </w:r>
            <w:r>
              <w:rPr>
                <w:rFonts w:hint="eastAsia" w:cs="Times New Roman"/>
                <w:lang w:val="en-US" w:eastAsia="zh-CN"/>
              </w:rPr>
              <w:t>门店</w:t>
            </w:r>
            <w:r>
              <w:rPr>
                <w:rFonts w:cs="Times New Roman"/>
              </w:rPr>
              <w:t>，整体门店数量两千多家。2025年的目标是维持净开店趋势。</w:t>
            </w:r>
          </w:p>
          <w:p w14:paraId="1E8BE80B">
            <w:pPr>
              <w:widowControl/>
              <w:adjustRightInd w:val="0"/>
              <w:snapToGrid w:val="0"/>
              <w:spacing w:line="360" w:lineRule="auto"/>
              <w:ind w:firstLine="482" w:firstLineChars="2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Q4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、</w:t>
            </w:r>
            <w:r>
              <w:rPr>
                <w:b/>
                <w:bCs/>
                <w:color w:val="FF0000"/>
                <w:sz w:val="24"/>
                <w:szCs w:val="24"/>
              </w:rPr>
              <w:t>全年产品和品类有没有侧重的方向？</w:t>
            </w:r>
          </w:p>
          <w:p w14:paraId="79BF6EE4">
            <w:pPr>
              <w:pStyle w:val="10"/>
              <w:widowControl/>
              <w:adjustRightInd w:val="0"/>
              <w:snapToGrid w:val="0"/>
              <w:spacing w:line="360" w:lineRule="auto"/>
              <w:ind w:firstLine="480"/>
              <w:rPr>
                <w:rFonts w:cs="Times New Roman"/>
              </w:rPr>
            </w:pPr>
            <w:r>
              <w:rPr>
                <w:rFonts w:cs="Times New Roman"/>
              </w:rPr>
              <w:t>A4</w:t>
            </w:r>
            <w:r>
              <w:rPr>
                <w:rFonts w:hint="eastAsia" w:cs="Times New Roman"/>
              </w:rPr>
              <w:t>、</w:t>
            </w:r>
            <w:r>
              <w:rPr>
                <w:rFonts w:cs="Times New Roman"/>
              </w:rPr>
              <w:t>今年</w:t>
            </w:r>
            <w:r>
              <w:rPr>
                <w:rFonts w:hint="eastAsia" w:cs="Times New Roman"/>
                <w:lang w:val="en-US" w:eastAsia="zh-CN"/>
              </w:rPr>
              <w:t>会继续推进</w:t>
            </w:r>
            <w:r>
              <w:rPr>
                <w:rFonts w:cs="Times New Roman"/>
              </w:rPr>
              <w:t>科技</w:t>
            </w:r>
            <w:r>
              <w:rPr>
                <w:rFonts w:hint="eastAsia" w:cs="Times New Roman"/>
                <w:lang w:val="en-US" w:eastAsia="zh-CN"/>
              </w:rPr>
              <w:t>或功能性产品</w:t>
            </w:r>
            <w:r>
              <w:rPr>
                <w:rFonts w:cs="Times New Roman"/>
              </w:rPr>
              <w:t>的</w:t>
            </w:r>
            <w:r>
              <w:rPr>
                <w:rFonts w:hint="eastAsia" w:cs="Times New Roman"/>
              </w:rPr>
              <w:t>研发</w:t>
            </w:r>
            <w:r>
              <w:rPr>
                <w:rFonts w:cs="Times New Roman"/>
              </w:rPr>
              <w:t>与推广，如</w:t>
            </w:r>
            <w:r>
              <w:rPr>
                <w:rFonts w:hint="eastAsia" w:cs="Times New Roman"/>
              </w:rPr>
              <w:t>已上市</w:t>
            </w:r>
            <w:r>
              <w:rPr>
                <w:rFonts w:cs="Times New Roman"/>
              </w:rPr>
              <w:t>的人体工学枕、第五代雪糕被</w:t>
            </w:r>
            <w:r>
              <w:rPr>
                <w:rFonts w:hint="eastAsia" w:cs="Times New Roman"/>
                <w:lang w:val="en-US" w:eastAsia="zh-CN"/>
              </w:rPr>
              <w:t>等大单品，并带动全品类销售。未来会</w:t>
            </w:r>
            <w:r>
              <w:rPr>
                <w:rFonts w:cs="Times New Roman"/>
              </w:rPr>
              <w:t>推出其他科技属性较强的产品。</w:t>
            </w:r>
          </w:p>
          <w:p w14:paraId="10A94F6E">
            <w:pPr>
              <w:pStyle w:val="10"/>
              <w:widowControl/>
              <w:adjustRightInd w:val="0"/>
              <w:snapToGrid w:val="0"/>
              <w:spacing w:line="360" w:lineRule="auto"/>
              <w:ind w:firstLine="480"/>
              <w:rPr>
                <w:rFonts w:cs="Times New Roman"/>
              </w:rPr>
            </w:pPr>
          </w:p>
          <w:p w14:paraId="3BE29D8C">
            <w:pPr>
              <w:widowControl/>
              <w:adjustRightInd w:val="0"/>
              <w:snapToGrid w:val="0"/>
              <w:spacing w:line="360" w:lineRule="auto"/>
              <w:ind w:firstLine="482" w:firstLineChars="2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Q5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、</w:t>
            </w:r>
            <w:r>
              <w:rPr>
                <w:b/>
                <w:bCs/>
                <w:color w:val="FF0000"/>
                <w:sz w:val="24"/>
                <w:szCs w:val="24"/>
              </w:rPr>
              <w:t>未来2-3年，家纺线上和线下的发展趋势如何，线上增速快于线下的趋势是否会延续？</w:t>
            </w:r>
          </w:p>
          <w:p w14:paraId="16C4AC5D">
            <w:pPr>
              <w:pStyle w:val="10"/>
              <w:widowControl/>
              <w:adjustRightInd w:val="0"/>
              <w:snapToGrid w:val="0"/>
              <w:spacing w:line="360" w:lineRule="auto"/>
              <w:ind w:firstLine="480"/>
              <w:rPr>
                <w:rFonts w:cs="Times New Roman"/>
              </w:rPr>
            </w:pPr>
            <w:r>
              <w:rPr>
                <w:rFonts w:cs="Times New Roman"/>
              </w:rPr>
              <w:t>A5</w:t>
            </w:r>
            <w:r>
              <w:rPr>
                <w:rFonts w:hint="eastAsia" w:cs="Times New Roman"/>
              </w:rPr>
              <w:t>、</w:t>
            </w:r>
            <w:r>
              <w:rPr>
                <w:rFonts w:cs="Times New Roman"/>
              </w:rPr>
              <w:t>家纺是相对偏标品的产品，适合线上销售</w:t>
            </w:r>
            <w:r>
              <w:rPr>
                <w:rFonts w:hint="eastAsia" w:cs="Times New Roman"/>
              </w:rPr>
              <w:t>。</w:t>
            </w:r>
            <w:r>
              <w:rPr>
                <w:rFonts w:cs="Times New Roman"/>
              </w:rPr>
              <w:t>目前公司线上</w:t>
            </w:r>
            <w:r>
              <w:rPr>
                <w:rFonts w:hint="eastAsia" w:cs="Times New Roman"/>
              </w:rPr>
              <w:t>收入</w:t>
            </w:r>
            <w:r>
              <w:rPr>
                <w:rFonts w:cs="Times New Roman"/>
              </w:rPr>
              <w:t>超过</w:t>
            </w:r>
            <w:r>
              <w:rPr>
                <w:rFonts w:hint="eastAsia" w:cs="Times New Roman"/>
              </w:rPr>
              <w:t>5</w:t>
            </w:r>
            <w:r>
              <w:rPr>
                <w:rFonts w:cs="Times New Roman"/>
              </w:rPr>
              <w:t>0</w:t>
            </w:r>
            <w:r>
              <w:rPr>
                <w:rFonts w:hint="eastAsia" w:cs="Times New Roman"/>
              </w:rPr>
              <w:t>%</w:t>
            </w:r>
            <w:r>
              <w:rPr>
                <w:rFonts w:cs="Times New Roman"/>
              </w:rPr>
              <w:t>。过去几年线上</w:t>
            </w:r>
            <w:r>
              <w:rPr>
                <w:rFonts w:hint="eastAsia" w:cs="Times New Roman"/>
                <w:lang w:val="en-US" w:eastAsia="zh-CN"/>
              </w:rPr>
              <w:t>增速提升明显</w:t>
            </w:r>
            <w:r>
              <w:rPr>
                <w:rFonts w:cs="Times New Roman"/>
              </w:rPr>
              <w:t>，</w:t>
            </w:r>
            <w:r>
              <w:rPr>
                <w:rFonts w:hint="eastAsia" w:cs="Times New Roman"/>
                <w:lang w:val="en-US" w:eastAsia="zh-CN"/>
              </w:rPr>
              <w:t>居家时间的增长</w:t>
            </w:r>
            <w:r>
              <w:rPr>
                <w:rFonts w:cs="Times New Roman"/>
              </w:rPr>
              <w:t>是助推的因素之一</w:t>
            </w:r>
            <w:r>
              <w:rPr>
                <w:rFonts w:hint="eastAsia" w:cs="Times New Roman"/>
                <w:lang w:eastAsia="zh-CN"/>
              </w:rPr>
              <w:t>。</w:t>
            </w:r>
            <w:r>
              <w:rPr>
                <w:rFonts w:cs="Times New Roman"/>
              </w:rPr>
              <w:t>随着线上平台规模扩大，增速</w:t>
            </w:r>
            <w:r>
              <w:rPr>
                <w:rFonts w:hint="eastAsia" w:cs="Times New Roman"/>
                <w:lang w:val="en-US" w:eastAsia="zh-CN"/>
              </w:rPr>
              <w:t>有</w:t>
            </w:r>
            <w:r>
              <w:rPr>
                <w:rFonts w:cs="Times New Roman"/>
              </w:rPr>
              <w:t>逐步</w:t>
            </w:r>
            <w:r>
              <w:rPr>
                <w:rFonts w:hint="eastAsia" w:cs="Times New Roman"/>
                <w:lang w:val="en-US" w:eastAsia="zh-CN"/>
              </w:rPr>
              <w:t>放缓趋势</w:t>
            </w:r>
            <w:r>
              <w:rPr>
                <w:rFonts w:cs="Times New Roman"/>
              </w:rPr>
              <w:t>，但从</w:t>
            </w:r>
            <w:r>
              <w:rPr>
                <w:rFonts w:hint="eastAsia" w:cs="Times New Roman"/>
              </w:rPr>
              <w:t>整体消费环境</w:t>
            </w:r>
            <w:r>
              <w:rPr>
                <w:rFonts w:cs="Times New Roman"/>
              </w:rPr>
              <w:t>来看</w:t>
            </w:r>
            <w:r>
              <w:rPr>
                <w:rFonts w:hint="eastAsia" w:cs="Times New Roman"/>
              </w:rPr>
              <w:t>，</w:t>
            </w:r>
            <w:r>
              <w:rPr>
                <w:rFonts w:cs="Times New Roman"/>
              </w:rPr>
              <w:t>线上</w:t>
            </w:r>
            <w:r>
              <w:rPr>
                <w:rFonts w:hint="eastAsia" w:cs="Times New Roman"/>
                <w:lang w:val="en-US" w:eastAsia="zh-CN"/>
              </w:rPr>
              <w:t>业务仍然存在扩展机会</w:t>
            </w:r>
            <w:r>
              <w:rPr>
                <w:rFonts w:cs="Times New Roman"/>
              </w:rPr>
              <w:t>。</w:t>
            </w:r>
          </w:p>
          <w:p w14:paraId="720E9FC1">
            <w:pPr>
              <w:widowControl/>
              <w:adjustRightInd w:val="0"/>
              <w:snapToGrid w:val="0"/>
              <w:spacing w:line="360" w:lineRule="auto"/>
              <w:ind w:firstLine="482" w:firstLineChars="2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Q6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、</w:t>
            </w:r>
            <w:r>
              <w:rPr>
                <w:b/>
                <w:bCs/>
                <w:color w:val="FF0000"/>
                <w:sz w:val="24"/>
                <w:szCs w:val="24"/>
              </w:rPr>
              <w:t>去年其他渠道增速达50.4%，主要拓展的是哪块业务，今年该业务是否还会保持高增速？</w:t>
            </w:r>
          </w:p>
          <w:p w14:paraId="1DA059BA">
            <w:pPr>
              <w:pStyle w:val="10"/>
              <w:widowControl/>
              <w:adjustRightInd w:val="0"/>
              <w:snapToGrid w:val="0"/>
              <w:spacing w:line="360" w:lineRule="auto"/>
              <w:ind w:firstLine="480"/>
              <w:rPr>
                <w:rFonts w:cs="Times New Roman"/>
              </w:rPr>
            </w:pPr>
            <w:r>
              <w:rPr>
                <w:rFonts w:cs="Times New Roman"/>
              </w:rPr>
              <w:t>A6</w:t>
            </w:r>
            <w:r>
              <w:rPr>
                <w:rFonts w:hint="eastAsia" w:cs="Times New Roman"/>
              </w:rPr>
              <w:t>、</w:t>
            </w:r>
            <w:r>
              <w:rPr>
                <w:rFonts w:cs="Times New Roman"/>
              </w:rPr>
              <w:t>其他渠道主要是公司的团购业务</w:t>
            </w:r>
            <w:r>
              <w:rPr>
                <w:rFonts w:hint="eastAsia" w:cs="Times New Roman"/>
              </w:rPr>
              <w:t>。</w:t>
            </w:r>
            <w:r>
              <w:rPr>
                <w:rFonts w:cs="Times New Roman"/>
              </w:rPr>
              <w:t>这两年团购业务增长速度</w:t>
            </w:r>
            <w:r>
              <w:rPr>
                <w:rFonts w:hint="eastAsia" w:cs="Times New Roman"/>
              </w:rPr>
              <w:t>较</w:t>
            </w:r>
            <w:r>
              <w:rPr>
                <w:rFonts w:cs="Times New Roman"/>
              </w:rPr>
              <w:t>快，未来</w:t>
            </w:r>
            <w:r>
              <w:rPr>
                <w:rFonts w:hint="eastAsia" w:cs="Times New Roman"/>
              </w:rPr>
              <w:t>我们</w:t>
            </w:r>
            <w:r>
              <w:rPr>
                <w:rFonts w:cs="Times New Roman"/>
              </w:rPr>
              <w:t>还会持续在这一</w:t>
            </w:r>
            <w:r>
              <w:rPr>
                <w:rFonts w:hint="eastAsia" w:cs="Times New Roman"/>
              </w:rPr>
              <w:t>业务领域深耕</w:t>
            </w:r>
            <w:r>
              <w:rPr>
                <w:rFonts w:cs="Times New Roman"/>
              </w:rPr>
              <w:t>。</w:t>
            </w:r>
          </w:p>
          <w:p w14:paraId="554C5BC8">
            <w:pPr>
              <w:widowControl/>
              <w:adjustRightInd w:val="0"/>
              <w:snapToGrid w:val="0"/>
              <w:spacing w:line="360" w:lineRule="auto"/>
              <w:ind w:firstLine="482" w:firstLineChars="2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Q7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、</w:t>
            </w:r>
            <w:r>
              <w:rPr>
                <w:b/>
                <w:bCs/>
                <w:color w:val="FF0000"/>
                <w:sz w:val="24"/>
                <w:szCs w:val="24"/>
              </w:rPr>
              <w:t>2025年一季度经营性活动现金流净流出的因素有哪些？</w:t>
            </w:r>
          </w:p>
          <w:p w14:paraId="3DA09EC4">
            <w:pPr>
              <w:pStyle w:val="10"/>
              <w:widowControl/>
              <w:adjustRightInd w:val="0"/>
              <w:snapToGrid w:val="0"/>
              <w:spacing w:line="360" w:lineRule="auto"/>
              <w:ind w:firstLine="480"/>
              <w:rPr>
                <w:rFonts w:cs="Times New Roman"/>
              </w:rPr>
            </w:pPr>
            <w:r>
              <w:rPr>
                <w:rFonts w:cs="Times New Roman"/>
              </w:rPr>
              <w:t>A7</w:t>
            </w:r>
            <w:r>
              <w:rPr>
                <w:rFonts w:hint="eastAsia" w:cs="Times New Roman"/>
              </w:rPr>
              <w:t>、</w:t>
            </w:r>
            <w:r>
              <w:t>整体Q1的现金流</w:t>
            </w:r>
            <w:r>
              <w:rPr>
                <w:rFonts w:hint="eastAsia"/>
              </w:rPr>
              <w:t>在</w:t>
            </w:r>
            <w:r>
              <w:t>全年的占比不高</w:t>
            </w:r>
            <w:r>
              <w:rPr>
                <w:rFonts w:hint="eastAsia"/>
              </w:rPr>
              <w:t>，净流出的主要原因为：1、</w:t>
            </w:r>
            <w:r>
              <w:t>一季度增加了备货</w:t>
            </w:r>
            <w:r>
              <w:rPr>
                <w:rFonts w:hint="eastAsia"/>
              </w:rPr>
              <w:t>；2、促销节奏提前，广宣费用提前发生；3、今年一季度缴纳</w:t>
            </w:r>
            <w:r>
              <w:rPr>
                <w:rFonts w:hint="eastAsia"/>
                <w:lang w:val="en-US" w:eastAsia="zh-CN"/>
              </w:rPr>
              <w:t>税费的影响</w:t>
            </w:r>
            <w:r>
              <w:rPr>
                <w:rFonts w:hint="eastAsia"/>
              </w:rPr>
              <w:t>。</w:t>
            </w:r>
          </w:p>
          <w:p w14:paraId="71ACB6AA">
            <w:pPr>
              <w:widowControl/>
              <w:adjustRightInd w:val="0"/>
              <w:snapToGrid w:val="0"/>
              <w:spacing w:line="360" w:lineRule="auto"/>
              <w:ind w:firstLine="482" w:firstLineChars="2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Q</w:t>
            </w:r>
            <w:r>
              <w:rPr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、</w:t>
            </w:r>
            <w:r>
              <w:rPr>
                <w:b/>
                <w:bCs/>
                <w:color w:val="FF0000"/>
                <w:sz w:val="24"/>
                <w:szCs w:val="24"/>
              </w:rPr>
              <w:t>公司接下来的分红规划指引是怎样的？</w:t>
            </w:r>
          </w:p>
          <w:p w14:paraId="11CE0B43">
            <w:pPr>
              <w:pStyle w:val="10"/>
              <w:widowControl/>
              <w:adjustRightInd w:val="0"/>
              <w:snapToGrid w:val="0"/>
              <w:spacing w:line="360" w:lineRule="auto"/>
              <w:ind w:firstLine="480"/>
            </w:pPr>
            <w:r>
              <w:t>A8</w:t>
            </w:r>
            <w:r>
              <w:rPr>
                <w:rFonts w:hint="eastAsia"/>
              </w:rPr>
              <w:t>、</w:t>
            </w:r>
            <w:r>
              <w:t>今年公司现金分红占净利率的比例为</w:t>
            </w:r>
            <w:r>
              <w:rPr>
                <w:rFonts w:hint="eastAsia"/>
              </w:rPr>
              <w:t>6</w:t>
            </w:r>
            <w:r>
              <w:t>3.58</w:t>
            </w:r>
            <w:r>
              <w:rPr>
                <w:rFonts w:hint="eastAsia"/>
              </w:rPr>
              <w:t>%</w:t>
            </w:r>
            <w:r>
              <w:t>，比上一年有</w:t>
            </w:r>
            <w:r>
              <w:rPr>
                <w:rFonts w:hint="eastAsia"/>
                <w:lang w:val="en-US" w:eastAsia="zh-CN"/>
              </w:rPr>
              <w:t>所</w:t>
            </w:r>
            <w:r>
              <w:t>提升，且已连续三年维持在60%以上。未来我们希望平衡分红比例和公司发展</w:t>
            </w:r>
            <w:r>
              <w:rPr>
                <w:rFonts w:hint="eastAsia"/>
                <w:lang w:val="en-US" w:eastAsia="zh-CN"/>
              </w:rPr>
              <w:t>规划</w:t>
            </w:r>
            <w:r>
              <w:rPr>
                <w:rFonts w:hint="eastAsia"/>
              </w:rPr>
              <w:t>，</w:t>
            </w:r>
            <w:r>
              <w:t>在回报投资者的同时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使</w:t>
            </w:r>
            <w:r>
              <w:t>公司</w:t>
            </w:r>
            <w:r>
              <w:rPr>
                <w:rFonts w:hint="eastAsia"/>
                <w:lang w:val="en-US" w:eastAsia="zh-CN"/>
              </w:rPr>
              <w:t>获得</w:t>
            </w:r>
            <w:r>
              <w:t>较好的发展。</w:t>
            </w:r>
          </w:p>
        </w:tc>
      </w:tr>
      <w:tr w14:paraId="46C49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E87C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是否涉及应当披露重大信息的说明</w:t>
            </w:r>
          </w:p>
        </w:tc>
        <w:tc>
          <w:tcPr>
            <w:tcW w:w="7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B3E">
            <w:pPr>
              <w:spacing w:before="156" w:beforeLines="5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不涉及应当披露的重大信息。</w:t>
            </w:r>
          </w:p>
        </w:tc>
      </w:tr>
      <w:tr w14:paraId="4508E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220D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附件清单（如有）</w:t>
            </w:r>
          </w:p>
        </w:tc>
        <w:tc>
          <w:tcPr>
            <w:tcW w:w="7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BDDB">
            <w:pPr>
              <w:spacing w:before="156" w:beforeLines="5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无</w:t>
            </w:r>
          </w:p>
        </w:tc>
      </w:tr>
    </w:tbl>
    <w:p w14:paraId="738B242B">
      <w:pPr>
        <w:rPr>
          <w:rFonts w:ascii="宋体" w:hAnsi="宋体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6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zIzNmNkN2EzNTU0NmYyMWQ2YTQ5ZjQ0Yjg2OTcifQ=="/>
  </w:docVars>
  <w:rsids>
    <w:rsidRoot w:val="00C06435"/>
    <w:rsid w:val="00001CFA"/>
    <w:rsid w:val="00004420"/>
    <w:rsid w:val="0000450E"/>
    <w:rsid w:val="0000536D"/>
    <w:rsid w:val="0000607F"/>
    <w:rsid w:val="00006DFE"/>
    <w:rsid w:val="00007A87"/>
    <w:rsid w:val="00025877"/>
    <w:rsid w:val="0003094F"/>
    <w:rsid w:val="00030C33"/>
    <w:rsid w:val="000310F5"/>
    <w:rsid w:val="00033768"/>
    <w:rsid w:val="00047DA6"/>
    <w:rsid w:val="00050B86"/>
    <w:rsid w:val="00051DC1"/>
    <w:rsid w:val="000542A4"/>
    <w:rsid w:val="000703B3"/>
    <w:rsid w:val="00071C3B"/>
    <w:rsid w:val="00074090"/>
    <w:rsid w:val="00082105"/>
    <w:rsid w:val="00086B72"/>
    <w:rsid w:val="00094A95"/>
    <w:rsid w:val="000A2868"/>
    <w:rsid w:val="000B2B47"/>
    <w:rsid w:val="000B5B68"/>
    <w:rsid w:val="000C0CFD"/>
    <w:rsid w:val="000C7BC7"/>
    <w:rsid w:val="000D7819"/>
    <w:rsid w:val="000E6AF2"/>
    <w:rsid w:val="000F4164"/>
    <w:rsid w:val="00106738"/>
    <w:rsid w:val="0013452E"/>
    <w:rsid w:val="00141A4B"/>
    <w:rsid w:val="0014467A"/>
    <w:rsid w:val="00156B4A"/>
    <w:rsid w:val="00160620"/>
    <w:rsid w:val="00175A90"/>
    <w:rsid w:val="00176F91"/>
    <w:rsid w:val="00177EEE"/>
    <w:rsid w:val="0018073C"/>
    <w:rsid w:val="00183950"/>
    <w:rsid w:val="00186E90"/>
    <w:rsid w:val="00195D86"/>
    <w:rsid w:val="001A1D97"/>
    <w:rsid w:val="001A7BE0"/>
    <w:rsid w:val="001C44A8"/>
    <w:rsid w:val="001C58ED"/>
    <w:rsid w:val="001D48C2"/>
    <w:rsid w:val="001E1FD7"/>
    <w:rsid w:val="001F088E"/>
    <w:rsid w:val="00201346"/>
    <w:rsid w:val="00206D58"/>
    <w:rsid w:val="0020713E"/>
    <w:rsid w:val="00207C2C"/>
    <w:rsid w:val="00211496"/>
    <w:rsid w:val="00211EF1"/>
    <w:rsid w:val="00217838"/>
    <w:rsid w:val="00233C6B"/>
    <w:rsid w:val="00242694"/>
    <w:rsid w:val="00247911"/>
    <w:rsid w:val="00265299"/>
    <w:rsid w:val="002853AF"/>
    <w:rsid w:val="00293922"/>
    <w:rsid w:val="002A5915"/>
    <w:rsid w:val="002D30A2"/>
    <w:rsid w:val="002E7FA4"/>
    <w:rsid w:val="002F0743"/>
    <w:rsid w:val="002F326F"/>
    <w:rsid w:val="003014AD"/>
    <w:rsid w:val="00305BB6"/>
    <w:rsid w:val="0031095F"/>
    <w:rsid w:val="0031199D"/>
    <w:rsid w:val="00311AF1"/>
    <w:rsid w:val="00315FD8"/>
    <w:rsid w:val="00316664"/>
    <w:rsid w:val="003404EA"/>
    <w:rsid w:val="003548D3"/>
    <w:rsid w:val="00354DD6"/>
    <w:rsid w:val="00355375"/>
    <w:rsid w:val="00364906"/>
    <w:rsid w:val="00380705"/>
    <w:rsid w:val="00385C60"/>
    <w:rsid w:val="00393CF0"/>
    <w:rsid w:val="003A41EB"/>
    <w:rsid w:val="003A5344"/>
    <w:rsid w:val="003C0849"/>
    <w:rsid w:val="003D04B0"/>
    <w:rsid w:val="003D1D93"/>
    <w:rsid w:val="003E58C7"/>
    <w:rsid w:val="003E6C1A"/>
    <w:rsid w:val="003F3FB0"/>
    <w:rsid w:val="00410FCB"/>
    <w:rsid w:val="00432A08"/>
    <w:rsid w:val="004368F5"/>
    <w:rsid w:val="00441B36"/>
    <w:rsid w:val="004449F5"/>
    <w:rsid w:val="00450382"/>
    <w:rsid w:val="004540B8"/>
    <w:rsid w:val="00460CC2"/>
    <w:rsid w:val="004723FB"/>
    <w:rsid w:val="004949D9"/>
    <w:rsid w:val="00497491"/>
    <w:rsid w:val="004A2C52"/>
    <w:rsid w:val="004B2A78"/>
    <w:rsid w:val="004B3F9B"/>
    <w:rsid w:val="004B68C6"/>
    <w:rsid w:val="004C1E7E"/>
    <w:rsid w:val="004D757A"/>
    <w:rsid w:val="004F4415"/>
    <w:rsid w:val="00502169"/>
    <w:rsid w:val="005145D7"/>
    <w:rsid w:val="005154D3"/>
    <w:rsid w:val="005159E7"/>
    <w:rsid w:val="005224DF"/>
    <w:rsid w:val="005255D5"/>
    <w:rsid w:val="005273E3"/>
    <w:rsid w:val="0053236C"/>
    <w:rsid w:val="005374A2"/>
    <w:rsid w:val="00541518"/>
    <w:rsid w:val="00557421"/>
    <w:rsid w:val="0056509A"/>
    <w:rsid w:val="005700E0"/>
    <w:rsid w:val="00570B0C"/>
    <w:rsid w:val="005845A7"/>
    <w:rsid w:val="005A3C50"/>
    <w:rsid w:val="005A3E91"/>
    <w:rsid w:val="005A4F0F"/>
    <w:rsid w:val="005B7A94"/>
    <w:rsid w:val="005E51BE"/>
    <w:rsid w:val="005F13EA"/>
    <w:rsid w:val="005F7765"/>
    <w:rsid w:val="00604344"/>
    <w:rsid w:val="00607A4F"/>
    <w:rsid w:val="00615366"/>
    <w:rsid w:val="00630329"/>
    <w:rsid w:val="0063038E"/>
    <w:rsid w:val="0063669E"/>
    <w:rsid w:val="006420F3"/>
    <w:rsid w:val="0065788B"/>
    <w:rsid w:val="00673169"/>
    <w:rsid w:val="00676C13"/>
    <w:rsid w:val="00687C2F"/>
    <w:rsid w:val="0069117C"/>
    <w:rsid w:val="0069575D"/>
    <w:rsid w:val="00695A89"/>
    <w:rsid w:val="00697137"/>
    <w:rsid w:val="00697729"/>
    <w:rsid w:val="006B016E"/>
    <w:rsid w:val="006B2AB1"/>
    <w:rsid w:val="006B2E6D"/>
    <w:rsid w:val="006C3ADC"/>
    <w:rsid w:val="006C4D47"/>
    <w:rsid w:val="006C6720"/>
    <w:rsid w:val="006D4E6F"/>
    <w:rsid w:val="006E37AB"/>
    <w:rsid w:val="007047F5"/>
    <w:rsid w:val="0071015A"/>
    <w:rsid w:val="007112EA"/>
    <w:rsid w:val="007176A2"/>
    <w:rsid w:val="007178F4"/>
    <w:rsid w:val="0072340E"/>
    <w:rsid w:val="00726376"/>
    <w:rsid w:val="00737F14"/>
    <w:rsid w:val="00744672"/>
    <w:rsid w:val="007479A4"/>
    <w:rsid w:val="00753D2A"/>
    <w:rsid w:val="00755AC6"/>
    <w:rsid w:val="00756ACE"/>
    <w:rsid w:val="00787EF9"/>
    <w:rsid w:val="00792550"/>
    <w:rsid w:val="007937F4"/>
    <w:rsid w:val="0079774F"/>
    <w:rsid w:val="007B1859"/>
    <w:rsid w:val="007C24D1"/>
    <w:rsid w:val="007C4DD3"/>
    <w:rsid w:val="007C6AD5"/>
    <w:rsid w:val="007D545F"/>
    <w:rsid w:val="008008D4"/>
    <w:rsid w:val="00800EC6"/>
    <w:rsid w:val="00812422"/>
    <w:rsid w:val="00814761"/>
    <w:rsid w:val="00814F55"/>
    <w:rsid w:val="0081644D"/>
    <w:rsid w:val="00822043"/>
    <w:rsid w:val="00822524"/>
    <w:rsid w:val="008244B7"/>
    <w:rsid w:val="00850050"/>
    <w:rsid w:val="00865CA4"/>
    <w:rsid w:val="00881515"/>
    <w:rsid w:val="0089714B"/>
    <w:rsid w:val="008B0C56"/>
    <w:rsid w:val="008C03F1"/>
    <w:rsid w:val="008C532C"/>
    <w:rsid w:val="008C71F3"/>
    <w:rsid w:val="008D705A"/>
    <w:rsid w:val="008E32EB"/>
    <w:rsid w:val="008F2235"/>
    <w:rsid w:val="00900D1A"/>
    <w:rsid w:val="00901126"/>
    <w:rsid w:val="009239FE"/>
    <w:rsid w:val="00923CE3"/>
    <w:rsid w:val="00924F8C"/>
    <w:rsid w:val="00932B12"/>
    <w:rsid w:val="009431BF"/>
    <w:rsid w:val="00947692"/>
    <w:rsid w:val="00950B83"/>
    <w:rsid w:val="00954735"/>
    <w:rsid w:val="00964E50"/>
    <w:rsid w:val="00977DEA"/>
    <w:rsid w:val="00980506"/>
    <w:rsid w:val="009860D3"/>
    <w:rsid w:val="009B15A6"/>
    <w:rsid w:val="009B56A7"/>
    <w:rsid w:val="009E03F2"/>
    <w:rsid w:val="009E074F"/>
    <w:rsid w:val="00A10F5B"/>
    <w:rsid w:val="00A111F6"/>
    <w:rsid w:val="00A11FD5"/>
    <w:rsid w:val="00A31AB9"/>
    <w:rsid w:val="00A421DA"/>
    <w:rsid w:val="00A503D1"/>
    <w:rsid w:val="00A60CEB"/>
    <w:rsid w:val="00A66758"/>
    <w:rsid w:val="00A70CE2"/>
    <w:rsid w:val="00A71C13"/>
    <w:rsid w:val="00A77C7C"/>
    <w:rsid w:val="00A81726"/>
    <w:rsid w:val="00AB715E"/>
    <w:rsid w:val="00AD32D7"/>
    <w:rsid w:val="00AD6F26"/>
    <w:rsid w:val="00AD72BC"/>
    <w:rsid w:val="00AD787F"/>
    <w:rsid w:val="00AE0248"/>
    <w:rsid w:val="00AE0C4A"/>
    <w:rsid w:val="00AE42F8"/>
    <w:rsid w:val="00AE7F9A"/>
    <w:rsid w:val="00AF10B7"/>
    <w:rsid w:val="00AF30AD"/>
    <w:rsid w:val="00B015B6"/>
    <w:rsid w:val="00B029D6"/>
    <w:rsid w:val="00B14D52"/>
    <w:rsid w:val="00B155BF"/>
    <w:rsid w:val="00B2041F"/>
    <w:rsid w:val="00B234F0"/>
    <w:rsid w:val="00B24C2D"/>
    <w:rsid w:val="00B25B7B"/>
    <w:rsid w:val="00B27218"/>
    <w:rsid w:val="00B460E7"/>
    <w:rsid w:val="00B46E18"/>
    <w:rsid w:val="00B53A39"/>
    <w:rsid w:val="00B57DC4"/>
    <w:rsid w:val="00B7104C"/>
    <w:rsid w:val="00B8186D"/>
    <w:rsid w:val="00B81DB2"/>
    <w:rsid w:val="00B925F7"/>
    <w:rsid w:val="00B93E87"/>
    <w:rsid w:val="00B95129"/>
    <w:rsid w:val="00BA27E0"/>
    <w:rsid w:val="00BB3232"/>
    <w:rsid w:val="00BB6494"/>
    <w:rsid w:val="00BC19BD"/>
    <w:rsid w:val="00BC31BC"/>
    <w:rsid w:val="00BC7711"/>
    <w:rsid w:val="00BD0262"/>
    <w:rsid w:val="00BF1829"/>
    <w:rsid w:val="00C06435"/>
    <w:rsid w:val="00C10307"/>
    <w:rsid w:val="00C104B3"/>
    <w:rsid w:val="00C17B7C"/>
    <w:rsid w:val="00C22766"/>
    <w:rsid w:val="00C27362"/>
    <w:rsid w:val="00C35A23"/>
    <w:rsid w:val="00C36CE2"/>
    <w:rsid w:val="00C42349"/>
    <w:rsid w:val="00C50C6B"/>
    <w:rsid w:val="00C627D4"/>
    <w:rsid w:val="00C7108C"/>
    <w:rsid w:val="00C71E86"/>
    <w:rsid w:val="00C75A6E"/>
    <w:rsid w:val="00C77C7C"/>
    <w:rsid w:val="00C87C46"/>
    <w:rsid w:val="00C905B3"/>
    <w:rsid w:val="00C965D7"/>
    <w:rsid w:val="00C96DE6"/>
    <w:rsid w:val="00CA2506"/>
    <w:rsid w:val="00CA3AF7"/>
    <w:rsid w:val="00CC23E5"/>
    <w:rsid w:val="00CC36DF"/>
    <w:rsid w:val="00CD03A3"/>
    <w:rsid w:val="00CD6C9F"/>
    <w:rsid w:val="00CE08F3"/>
    <w:rsid w:val="00CE4B50"/>
    <w:rsid w:val="00CE4DA8"/>
    <w:rsid w:val="00CF34BC"/>
    <w:rsid w:val="00CF6A53"/>
    <w:rsid w:val="00CF7EFA"/>
    <w:rsid w:val="00D03CBF"/>
    <w:rsid w:val="00D064AF"/>
    <w:rsid w:val="00D121B6"/>
    <w:rsid w:val="00D132ED"/>
    <w:rsid w:val="00D25985"/>
    <w:rsid w:val="00D26F8D"/>
    <w:rsid w:val="00D31AE6"/>
    <w:rsid w:val="00D43CC9"/>
    <w:rsid w:val="00D446C2"/>
    <w:rsid w:val="00D634E5"/>
    <w:rsid w:val="00D661A1"/>
    <w:rsid w:val="00D6774D"/>
    <w:rsid w:val="00D677BA"/>
    <w:rsid w:val="00D82B4C"/>
    <w:rsid w:val="00D8396E"/>
    <w:rsid w:val="00D8690E"/>
    <w:rsid w:val="00D91F0A"/>
    <w:rsid w:val="00DA5218"/>
    <w:rsid w:val="00DB121A"/>
    <w:rsid w:val="00DB194A"/>
    <w:rsid w:val="00DB421C"/>
    <w:rsid w:val="00DC45C1"/>
    <w:rsid w:val="00DE02E5"/>
    <w:rsid w:val="00DF5609"/>
    <w:rsid w:val="00E15E08"/>
    <w:rsid w:val="00E2332A"/>
    <w:rsid w:val="00E244AE"/>
    <w:rsid w:val="00E34F8D"/>
    <w:rsid w:val="00E35F6B"/>
    <w:rsid w:val="00E40061"/>
    <w:rsid w:val="00E56722"/>
    <w:rsid w:val="00E628E3"/>
    <w:rsid w:val="00E6745C"/>
    <w:rsid w:val="00E75F2D"/>
    <w:rsid w:val="00E839EB"/>
    <w:rsid w:val="00E85592"/>
    <w:rsid w:val="00E93BC3"/>
    <w:rsid w:val="00E96F04"/>
    <w:rsid w:val="00EA3366"/>
    <w:rsid w:val="00EA4449"/>
    <w:rsid w:val="00EB0529"/>
    <w:rsid w:val="00EB1EE3"/>
    <w:rsid w:val="00EC2CA5"/>
    <w:rsid w:val="00ED0A36"/>
    <w:rsid w:val="00ED0E82"/>
    <w:rsid w:val="00EE311C"/>
    <w:rsid w:val="00F01A9B"/>
    <w:rsid w:val="00F04DA8"/>
    <w:rsid w:val="00F22C8E"/>
    <w:rsid w:val="00F313DD"/>
    <w:rsid w:val="00F32C26"/>
    <w:rsid w:val="00F33B09"/>
    <w:rsid w:val="00F37E78"/>
    <w:rsid w:val="00F40E64"/>
    <w:rsid w:val="00F42559"/>
    <w:rsid w:val="00F539EC"/>
    <w:rsid w:val="00F53F68"/>
    <w:rsid w:val="00F67283"/>
    <w:rsid w:val="00F749E1"/>
    <w:rsid w:val="00F83AE0"/>
    <w:rsid w:val="00F93D02"/>
    <w:rsid w:val="00FA2B0D"/>
    <w:rsid w:val="00FA2F2A"/>
    <w:rsid w:val="00FB0A95"/>
    <w:rsid w:val="00FB1809"/>
    <w:rsid w:val="00FB4FB4"/>
    <w:rsid w:val="00FC0793"/>
    <w:rsid w:val="00FC251B"/>
    <w:rsid w:val="00FD2A6A"/>
    <w:rsid w:val="00FD4774"/>
    <w:rsid w:val="00FD4D03"/>
    <w:rsid w:val="00FE5F6A"/>
    <w:rsid w:val="031E276F"/>
    <w:rsid w:val="043B4C5B"/>
    <w:rsid w:val="04A3117E"/>
    <w:rsid w:val="04AC145E"/>
    <w:rsid w:val="0DB46E2B"/>
    <w:rsid w:val="0F930419"/>
    <w:rsid w:val="10507CE0"/>
    <w:rsid w:val="10E95DCD"/>
    <w:rsid w:val="13D604FC"/>
    <w:rsid w:val="13E23345"/>
    <w:rsid w:val="13E42C19"/>
    <w:rsid w:val="14B06F9F"/>
    <w:rsid w:val="16AB2114"/>
    <w:rsid w:val="18C96881"/>
    <w:rsid w:val="1A383CBF"/>
    <w:rsid w:val="1C534DE0"/>
    <w:rsid w:val="1CF55E97"/>
    <w:rsid w:val="201B3E66"/>
    <w:rsid w:val="23580F2E"/>
    <w:rsid w:val="25643BBA"/>
    <w:rsid w:val="281F026C"/>
    <w:rsid w:val="29D54A8B"/>
    <w:rsid w:val="29F8110E"/>
    <w:rsid w:val="2BDB26FC"/>
    <w:rsid w:val="2BF23A18"/>
    <w:rsid w:val="2C656218"/>
    <w:rsid w:val="2D2A3DE3"/>
    <w:rsid w:val="34394463"/>
    <w:rsid w:val="34563B25"/>
    <w:rsid w:val="38E84B50"/>
    <w:rsid w:val="3C025A83"/>
    <w:rsid w:val="3C224D45"/>
    <w:rsid w:val="3D8F638F"/>
    <w:rsid w:val="3DE23DBE"/>
    <w:rsid w:val="3DE550F2"/>
    <w:rsid w:val="3E2C3FFF"/>
    <w:rsid w:val="3FF40D5E"/>
    <w:rsid w:val="409F1AF2"/>
    <w:rsid w:val="40DE6ABE"/>
    <w:rsid w:val="42817701"/>
    <w:rsid w:val="428B491A"/>
    <w:rsid w:val="43896F34"/>
    <w:rsid w:val="47537EAC"/>
    <w:rsid w:val="48001242"/>
    <w:rsid w:val="4DCA00AA"/>
    <w:rsid w:val="4FD6300B"/>
    <w:rsid w:val="4FE70DC0"/>
    <w:rsid w:val="50131BB5"/>
    <w:rsid w:val="51387B25"/>
    <w:rsid w:val="514026B0"/>
    <w:rsid w:val="52781E86"/>
    <w:rsid w:val="565A0534"/>
    <w:rsid w:val="578B566C"/>
    <w:rsid w:val="57F10C0E"/>
    <w:rsid w:val="5CFD1C22"/>
    <w:rsid w:val="5F676D07"/>
    <w:rsid w:val="61406582"/>
    <w:rsid w:val="61554209"/>
    <w:rsid w:val="61744F00"/>
    <w:rsid w:val="61BD7BD2"/>
    <w:rsid w:val="63F7561D"/>
    <w:rsid w:val="65363F24"/>
    <w:rsid w:val="67264120"/>
    <w:rsid w:val="6A1D6D76"/>
    <w:rsid w:val="6C464207"/>
    <w:rsid w:val="6E677844"/>
    <w:rsid w:val="6F696E7A"/>
    <w:rsid w:val="6F713E3E"/>
    <w:rsid w:val="70090835"/>
    <w:rsid w:val="712F1DB0"/>
    <w:rsid w:val="72B31538"/>
    <w:rsid w:val="73EA29F3"/>
    <w:rsid w:val="76D05FFC"/>
    <w:rsid w:val="7BB660DF"/>
    <w:rsid w:val="7C1A735A"/>
    <w:rsid w:val="7F4A41BC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200" w:firstLineChars="200"/>
    </w:pPr>
    <w:rPr>
      <w:rFonts w:ascii="Times New Roman" w:hAnsi="Times New Roman" w:cstheme="minorBidi"/>
      <w:sz w:val="24"/>
      <w:szCs w:val="24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10"/>
    <w:basedOn w:val="6"/>
    <w:qFormat/>
    <w:uiPriority w:val="0"/>
    <w:rPr>
      <w:rFonts w:hint="eastAsia" w:ascii="等线" w:hAnsi="等线" w:eastAsia="等线" w:cs="等线"/>
    </w:rPr>
  </w:style>
  <w:style w:type="character" w:customStyle="1" w:styleId="13">
    <w:name w:val="15"/>
    <w:basedOn w:val="6"/>
    <w:qFormat/>
    <w:uiPriority w:val="0"/>
    <w:rPr>
      <w:rFonts w:hint="eastAsia"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2476</Words>
  <Characters>2711</Characters>
  <Lines>81</Lines>
  <Paragraphs>80</Paragraphs>
  <TotalTime>0</TotalTime>
  <ScaleCrop>false</ScaleCrop>
  <LinksUpToDate>false</LinksUpToDate>
  <CharactersWithSpaces>2763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2017-11-27T05:39:00Z</dcterms:created>
  <dc:creator>mercury</dc:creator>
  <cp:lastModifiedBy>at</cp:lastModifiedBy>
  <cp:lastPrinted>2023-08-30T03:31:00Z</cp:lastPrinted>
  <dcterms:modified xsi:type="dcterms:W3CDTF">2025-04-30T08:23:14Z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10E513849AF34EE69026ED800FF03194_13</vt:lpwstr>
  </property>
  <property fmtid="{D5CDD505-2E9C-101B-9397-08002B2CF9AE}" pid="4" name="KSOTemplateDocerSaveRecord">
    <vt:lpwstr>eyJoZGlkIjoiOWRmZDQzYzRlNTM2MzdhMTU3MWJjYWNiMjUwM2FjZmUiLCJ1c2VySWQiOiI1MDEzMzkyOTEifQ==</vt:lpwstr>
  </property>
</Properties>
</file>